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D5" w:rsidRDefault="00AD0FD5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Приложение № 6 к муниципальной Программе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«Развитие культуры» на 2014-2016гг.</w:t>
      </w:r>
    </w:p>
    <w:p w:rsidR="00AD0FD5" w:rsidRDefault="00AD0FD5" w:rsidP="00AD0FD5">
      <w:pPr>
        <w:autoSpaceDE w:val="0"/>
        <w:autoSpaceDN w:val="0"/>
        <w:adjustRightInd w:val="0"/>
        <w:ind w:left="5580" w:firstLine="720"/>
        <w:outlineLvl w:val="0"/>
        <w:rPr>
          <w:color w:val="000000"/>
          <w:sz w:val="28"/>
          <w:szCs w:val="28"/>
        </w:rPr>
      </w:pP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0FD5" w:rsidRDefault="00505C7E" w:rsidP="00AD0FD5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3</w:t>
      </w:r>
      <w:r w:rsidR="00AD0FD5">
        <w:rPr>
          <w:rFonts w:ascii="Times New Roman" w:hAnsi="Times New Roman" w:cs="Times New Roman"/>
          <w:color w:val="000000"/>
          <w:sz w:val="28"/>
          <w:szCs w:val="28"/>
        </w:rPr>
        <w:t xml:space="preserve">. «Обеспечение условий реализации программы </w:t>
      </w:r>
    </w:p>
    <w:p w:rsidR="00AD0FD5" w:rsidRDefault="00AD0FD5" w:rsidP="00505C7E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прочие мероприятия</w:t>
      </w:r>
      <w:r w:rsidR="00DE1AB8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Паспорт подпрограммы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360" w:firstLine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20"/>
      </w:tblGrid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AD0FD5" w:rsidRDefault="00AD0FD5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Муниципальная программа «Развитие культуры» на 2014-2016гг. (далее – Программа)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отдел культуры Администрации</w:t>
            </w:r>
            <w:r w:rsidR="0005409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города Шарыпово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Муниципальные  учреждения культуры и  учреждения дополнительного образования </w:t>
            </w:r>
          </w:p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в области культуры 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подпрограммы</w:t>
            </w:r>
          </w:p>
          <w:p w:rsidR="00AD0FD5" w:rsidRDefault="00AD0FD5">
            <w:pPr>
              <w:pStyle w:val="ConsPlusNorma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Default="00AD0FD5" w:rsidP="00A4344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непрерывного профессионального образования в области культуры;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отрасли «культура»;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эффективного управления в отрасли «культура»</w:t>
            </w:r>
          </w:p>
          <w:p w:rsidR="00AD0FD5" w:rsidRDefault="00AD0FD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детей, привлекаемых к участию в творческих мероприятиях, в общем числе детей;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AD0FD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доли музеев, имеющих сайт в </w:t>
            </w:r>
            <w:r>
              <w:rPr>
                <w:color w:val="000000"/>
                <w:sz w:val="28"/>
                <w:szCs w:val="28"/>
              </w:rPr>
              <w:lastRenderedPageBreak/>
              <w:t>сети Интернет, в общем количестве музеев;</w:t>
            </w:r>
          </w:p>
          <w:p w:rsidR="00AD0FD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театров, имеющих сайт в сети Интернет;</w:t>
            </w:r>
          </w:p>
          <w:p w:rsidR="00AD0FD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библиотек;</w:t>
            </w:r>
          </w:p>
          <w:p w:rsidR="00AD0FD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библиографических записей </w:t>
            </w:r>
          </w:p>
          <w:p w:rsidR="00AD0FD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электронных каталогах муниципальных библиотек;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получателей денежных поощрений  лучшим творческим работникам,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своевременность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бюджета);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сроков представления главным распорядителем годовой бюджетной отчетности;</w:t>
            </w:r>
          </w:p>
          <w:p w:rsidR="00AD0FD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2014 - 2016 годы</w:t>
            </w:r>
          </w:p>
        </w:tc>
      </w:tr>
      <w:tr w:rsidR="00AD0FD5" w:rsidTr="00AD0FD5">
        <w:trPr>
          <w:trHeight w:val="57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общий объем финансирования за счет средств бюджета –</w:t>
            </w:r>
            <w:r w:rsidR="00955AF1">
              <w:rPr>
                <w:color w:val="000000"/>
                <w:sz w:val="28"/>
                <w:szCs w:val="28"/>
              </w:rPr>
              <w:t>85420,88</w:t>
            </w:r>
            <w:r>
              <w:rPr>
                <w:color w:val="000000"/>
                <w:sz w:val="28"/>
                <w:szCs w:val="28"/>
              </w:rPr>
              <w:t xml:space="preserve"> тыс. рублей, из них</w:t>
            </w:r>
          </w:p>
          <w:p w:rsidR="00AD0FD5" w:rsidRDefault="00955AF1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городской </w:t>
            </w:r>
            <w:r w:rsidR="00AD0FD5">
              <w:rPr>
                <w:color w:val="000000"/>
                <w:sz w:val="28"/>
                <w:szCs w:val="28"/>
              </w:rPr>
              <w:t xml:space="preserve"> бюджет – </w:t>
            </w:r>
            <w:r w:rsidR="00DE1AB8">
              <w:rPr>
                <w:color w:val="000000"/>
                <w:sz w:val="28"/>
                <w:szCs w:val="28"/>
              </w:rPr>
              <w:t>83733,</w:t>
            </w:r>
            <w:r>
              <w:rPr>
                <w:color w:val="000000"/>
                <w:sz w:val="28"/>
                <w:szCs w:val="28"/>
              </w:rPr>
              <w:t>08</w:t>
            </w:r>
            <w:r w:rsidR="00AD0FD5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AD0FD5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AD0FD5"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1 687,8</w:t>
            </w:r>
            <w:r w:rsidR="00DE1AB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годам: 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2014 год – </w:t>
            </w:r>
            <w:r w:rsidR="00955AF1">
              <w:rPr>
                <w:color w:val="000000"/>
                <w:sz w:val="28"/>
                <w:szCs w:val="28"/>
              </w:rPr>
              <w:t>28044,18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D0FD5" w:rsidRDefault="00955AF1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городской </w:t>
            </w:r>
            <w:r w:rsidR="00AD0FD5">
              <w:rPr>
                <w:color w:val="000000"/>
                <w:sz w:val="28"/>
                <w:szCs w:val="28"/>
              </w:rPr>
              <w:t xml:space="preserve"> бюджет – </w:t>
            </w:r>
            <w:r>
              <w:rPr>
                <w:color w:val="000000"/>
                <w:sz w:val="28"/>
                <w:szCs w:val="28"/>
              </w:rPr>
              <w:t>27481,58</w:t>
            </w:r>
            <w:r w:rsidR="00AD0FD5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AD0FD5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AD0FD5">
              <w:rPr>
                <w:color w:val="000000"/>
                <w:sz w:val="28"/>
                <w:szCs w:val="28"/>
              </w:rPr>
              <w:t>уб</w:t>
            </w:r>
            <w:r w:rsidR="000C498D">
              <w:rPr>
                <w:color w:val="000000"/>
                <w:sz w:val="28"/>
                <w:szCs w:val="28"/>
              </w:rPr>
              <w:t>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</w:t>
            </w:r>
            <w:r w:rsidR="00DE1AB8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– </w:t>
            </w:r>
            <w:r w:rsidR="00955AF1">
              <w:rPr>
                <w:color w:val="000000"/>
                <w:sz w:val="28"/>
                <w:szCs w:val="28"/>
              </w:rPr>
              <w:t>28688,35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D0FD5" w:rsidRDefault="00955AF1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городской </w:t>
            </w:r>
            <w:r w:rsidR="00AD0FD5">
              <w:rPr>
                <w:color w:val="000000"/>
                <w:sz w:val="28"/>
                <w:szCs w:val="28"/>
              </w:rPr>
              <w:t xml:space="preserve"> бюджет – </w:t>
            </w:r>
            <w:r>
              <w:rPr>
                <w:color w:val="000000"/>
                <w:sz w:val="28"/>
                <w:szCs w:val="28"/>
              </w:rPr>
              <w:t>28125,75</w:t>
            </w:r>
            <w:r w:rsidR="00AD0FD5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AD0FD5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AD0FD5"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</w:t>
            </w:r>
            <w:r w:rsidR="00DE1AB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</w:t>
            </w:r>
            <w:r w:rsidR="00955AF1">
              <w:rPr>
                <w:color w:val="000000"/>
                <w:sz w:val="28"/>
                <w:szCs w:val="28"/>
              </w:rPr>
              <w:t>28688,35</w:t>
            </w:r>
            <w:r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AD0FD5" w:rsidRDefault="00955AF1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городской </w:t>
            </w:r>
            <w:r w:rsidR="00AD0FD5">
              <w:rPr>
                <w:color w:val="000000"/>
                <w:sz w:val="28"/>
                <w:szCs w:val="28"/>
              </w:rPr>
              <w:t xml:space="preserve"> бюджет – </w:t>
            </w:r>
            <w:r>
              <w:rPr>
                <w:color w:val="000000"/>
                <w:sz w:val="28"/>
                <w:szCs w:val="28"/>
              </w:rPr>
              <w:t>28125,75</w:t>
            </w:r>
            <w:r w:rsidR="00AD0FD5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AD0FD5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AD0FD5">
              <w:rPr>
                <w:color w:val="000000"/>
                <w:sz w:val="28"/>
                <w:szCs w:val="28"/>
              </w:rPr>
              <w:t>уб.</w:t>
            </w:r>
          </w:p>
          <w:p w:rsidR="00AD0FD5" w:rsidRDefault="00AD0FD5">
            <w:pPr>
              <w:spacing w:line="23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 – 562,6</w:t>
            </w:r>
            <w:r w:rsidR="00DE1AB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</w:tc>
      </w:tr>
      <w:tr w:rsidR="00AD0FD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Default="00AD0FD5">
            <w:pPr>
              <w:pStyle w:val="ConsPlusCel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разделы подпрограммы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Постановка общегородской проблемы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обоснование необходимости разработки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  <w:sz w:val="28"/>
          <w:szCs w:val="28"/>
        </w:rPr>
        <w:t>Подпрограмма направлена на решение задачи «С</w:t>
      </w:r>
      <w:r>
        <w:rPr>
          <w:bCs/>
          <w:color w:val="000000"/>
          <w:sz w:val="28"/>
          <w:szCs w:val="28"/>
        </w:rPr>
        <w:t xml:space="preserve">оздание условий для устойчивого развития отрасли «культура» и прочие мероприятия Программы, а также </w:t>
      </w:r>
      <w:r>
        <w:rPr>
          <w:color w:val="000000"/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и современным нуждам потребителей культурных благ.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дополнительное  образование является одним из приоритетных направлений культурной политики города. На территории города работают два учреждения дополнительного образования детей в области культуры.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</w:t>
      </w:r>
      <w:r>
        <w:rPr>
          <w:color w:val="000000"/>
          <w:sz w:val="28"/>
          <w:szCs w:val="28"/>
        </w:rPr>
        <w:lastRenderedPageBreak/>
        <w:t xml:space="preserve">быть направлен на максимально широкий круг детей и молодежи. Работа с одаренными детьми в городе  на разных уровнях проявления способностей осуществляется через развитие системы творческих конкурсов, организацию мастер-классов. Одаренным детям в области культуры и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AD0FD5" w:rsidRDefault="00AD0FD5" w:rsidP="00AD0FD5">
      <w:pPr>
        <w:autoSpaceDE w:val="0"/>
        <w:autoSpaceDN w:val="0"/>
        <w:ind w:right="13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с одаренными детьми проводится не только образовательными учреждениями в области культуры. В городе при учреждениях культурно-досугового типа работают более 43 клубных формирования для детей до 14 лет с общим числом участников свыше 15,2 тыс. человек, т.е. более 57% от общего числа участников клубных формирований – это дети. Учреждения культурно-досугового типа проводят детские конкурсы, смотры, фестивали, выставки, на базе учреждений музейного и библиотечного типа, театров с целью содействия творческому развитию детей работают творческие лаборатории, студии, проводятся экскурсии и другие мероприятия.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</w:t>
      </w:r>
      <w:proofErr w:type="spellStart"/>
      <w:r>
        <w:rPr>
          <w:color w:val="000000"/>
          <w:sz w:val="28"/>
          <w:szCs w:val="28"/>
        </w:rPr>
        <w:t>фандрайзинга</w:t>
      </w:r>
      <w:proofErr w:type="spellEnd"/>
      <w:r>
        <w:rPr>
          <w:color w:val="000000"/>
          <w:sz w:val="28"/>
          <w:szCs w:val="28"/>
        </w:rPr>
        <w:t xml:space="preserve">, маркетинга, управления деятельностью, ресурсами, проектами.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базе краевых учреждений дополнительного профессионального образования специалисты учреждений культуры получают профессиональное  образование, в том числе повышение квалификации,  профессиональную  переподготовку, стажировки.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города.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</w:t>
      </w:r>
      <w:r>
        <w:rPr>
          <w:color w:val="000000"/>
          <w:sz w:val="28"/>
          <w:szCs w:val="28"/>
        </w:rPr>
        <w:lastRenderedPageBreak/>
        <w:t>края. В городе  имеется положительный опыт в области стимулирования талантливой молодежи творческих коллективов. Кроме того, отрасль в течение 2013 года отрасль «культура» переведена на новую систему оплаты труда.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в отрасли наблюдается дефицит и старение кадров, кадровый состав слабо обновляется за счет молодых специалистов. Необходимо сосредоточить усилия на повышении оплаты труда работников культуры, улучшении их жилищных условий.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общества, как новой ступени в развитии современной цивилизации,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и культурным ценностям.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задачи формирования современной информационной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культуры, в первую очередь библиотек и музеев, </w:t>
      </w:r>
      <w:r>
        <w:rPr>
          <w:rStyle w:val="dash0410043104370430044600200441043f04380441043a0430char"/>
          <w:color w:val="000000"/>
          <w:sz w:val="28"/>
          <w:szCs w:val="28"/>
        </w:rPr>
        <w:t xml:space="preserve">изменения </w:t>
      </w:r>
      <w:r>
        <w:rPr>
          <w:color w:val="000000"/>
          <w:sz w:val="28"/>
          <w:szCs w:val="28"/>
        </w:rPr>
        <w:t>стандартов деятельности и расширения спектра предоставляемых ими услуг.</w:t>
      </w:r>
    </w:p>
    <w:p w:rsidR="00AD0FD5" w:rsidRDefault="00AD0FD5" w:rsidP="00AD0FD5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В муниципальных библиотеках города  внедряется автоматизированная система обслуживания читателей на основе программы «Ирбис». В муниципальном  музее внедрена </w:t>
      </w:r>
      <w:r>
        <w:rPr>
          <w:bCs/>
          <w:color w:val="000000"/>
          <w:sz w:val="28"/>
          <w:szCs w:val="28"/>
        </w:rPr>
        <w:t>комплексная  автоматизированная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музейная информационная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система «Музей-3», </w:t>
      </w:r>
      <w:r>
        <w:rPr>
          <w:color w:val="000000"/>
          <w:sz w:val="28"/>
          <w:szCs w:val="28"/>
        </w:rPr>
        <w:t xml:space="preserve">что способствует развитию информационных технологий в музейной деятельности.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долгосрочных целевых программ отрасли муниципальные библиотеки и музей города  оснащаются средствами автоматизации и программным обеспечением, подключаются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Интернет. </w:t>
      </w:r>
      <w:proofErr w:type="gramStart"/>
      <w:r>
        <w:rPr>
          <w:sz w:val="28"/>
          <w:szCs w:val="28"/>
        </w:rPr>
        <w:t>На сегодняшний день к сети Интернет подключены 55,6% библиотек.</w:t>
      </w:r>
      <w:proofErr w:type="gramEnd"/>
      <w:r>
        <w:rPr>
          <w:sz w:val="28"/>
          <w:szCs w:val="28"/>
        </w:rPr>
        <w:t xml:space="preserve"> Ведется работа по переводу фонда библиотек в электронный каталог.</w:t>
      </w:r>
      <w:r>
        <w:rPr>
          <w:color w:val="000000"/>
          <w:sz w:val="28"/>
          <w:szCs w:val="28"/>
        </w:rPr>
        <w:t xml:space="preserve"> Централизованная библиотечная система имеет собственный сайт.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Вместе с тем, динамика показателей развития информационной и телекоммуникационной инфраструктуры в городе  не позволяет рассчитывать на существенные изменения в ближайшем будущем. </w:t>
      </w:r>
      <w:r>
        <w:rPr>
          <w:color w:val="000000"/>
          <w:spacing w:val="1"/>
          <w:sz w:val="28"/>
          <w:szCs w:val="28"/>
        </w:rPr>
        <w:t xml:space="preserve">Компьютерный парк муниципальных </w:t>
      </w:r>
      <w:r>
        <w:rPr>
          <w:color w:val="000000"/>
          <w:sz w:val="28"/>
          <w:szCs w:val="28"/>
        </w:rPr>
        <w:t>библиотек</w:t>
      </w:r>
      <w:r>
        <w:rPr>
          <w:color w:val="000000"/>
          <w:spacing w:val="1"/>
          <w:sz w:val="28"/>
          <w:szCs w:val="28"/>
        </w:rPr>
        <w:t xml:space="preserve"> требует модернизации, </w:t>
      </w:r>
      <w:r>
        <w:rPr>
          <w:color w:val="000000"/>
          <w:spacing w:val="1"/>
          <w:sz w:val="28"/>
          <w:szCs w:val="28"/>
        </w:rPr>
        <w:lastRenderedPageBreak/>
        <w:t>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данных.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города,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</w:t>
      </w:r>
      <w:proofErr w:type="gramEnd"/>
      <w:r>
        <w:rPr>
          <w:color w:val="000000"/>
          <w:sz w:val="28"/>
          <w:szCs w:val="28"/>
        </w:rPr>
        <w:t xml:space="preserve"> его к мировым культурным ценностям, что особенно важно в условиях активного развития инновационной деятельности.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материально-технической базы учреждений культуры и образовательных учреждений в области культуры продолжает ухудшаться и неспособно на сегодняшний день обеспечить должное развитие культуры в городе.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города.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ремонте нуждается все учреждения культуры. Высокая степень изношенности основных фондов,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Красноярского края «Развитие культуры» на 2014-2016 годы планируется конкурсное предоставление субсидий учреждениям культуры на  поддержку детских школ искусств, детских клубных формирований, информатизацию учреждений культуры, комплектование библиотечных фондов, а также на оснащение учреждений специальным оборудованием, проведение ремонта. Учреждения культуры города Шарыпово планируют принять активное участие в конкурсных отборах.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  <w:bookmarkStart w:id="0" w:name="p152"/>
      <w:bookmarkEnd w:id="0"/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2.2. Основная цель, задачи, этапы и сроки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выполнения подпрограммы, целевые индикаторы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целью подпрограммы определено – создание условий для устойчивого </w:t>
      </w:r>
      <w:r>
        <w:rPr>
          <w:color w:val="000000"/>
          <w:sz w:val="28"/>
          <w:szCs w:val="28"/>
        </w:rPr>
        <w:lastRenderedPageBreak/>
        <w:t>развития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исполнения подпрограммы: 2014 - 2016 годы.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индикаторами реализации подпрограммы являются: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доля детей, привлекаемых к участию в творческих мероприятиях, в общем числе детей;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 музеев, имеющих сайт в сети Интернет, в общем количестве муниципальных музеев;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театров, имеющих сайт в сети Интернет, в общем количестве муниципальных театров;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 библиотек, подключенных к сети Интернет, в общем количестве общедоступных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библиографических записей в электронных каталогах муниципальных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своевременность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представления уточненного фрагмента реестра расходных обязательств главного распорядителя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уровень исполнения расходов главного распорядителя за счет средств бюджета (без учета межбюджетных трансфертов, имеющих целевое  назначение, из федерального бюджета);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своевременность утверждения муниципальных заданий подведомственным учреждениям на текущий финансовый год и плановый период;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сроков представления главным распорядителем  годовой бюджетной отчетности;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законодательства.</w:t>
      </w:r>
    </w:p>
    <w:p w:rsidR="00AD0FD5" w:rsidRDefault="00AD0FD5" w:rsidP="00AD0FD5">
      <w:pPr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Целевые индикаторы приведены в приложении № 1 к подпрограмме.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2.3. Механизм реализации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color w:val="000000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2.3.1. Главным распорядителем бюджетных средств является отдел культуры Администрации города Шарыпово.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культуры Администрации города Шарыпово и муниципальными бюджетными или автономными учреждениями культуры в соответствии с порядком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1:</w:t>
      </w:r>
      <w:r>
        <w:rPr>
          <w:b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2: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</w:t>
      </w: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бюджетному учреждению «Краеведческий музей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Шарыпово»;</w:t>
      </w: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3: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«Центр культуры и кино»;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бюджетному образовательному учреждению «Детская </w:t>
      </w:r>
      <w:r>
        <w:rPr>
          <w:color w:val="000000"/>
          <w:sz w:val="28"/>
          <w:szCs w:val="28"/>
        </w:rPr>
        <w:lastRenderedPageBreak/>
        <w:t>школа искусств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культуры».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по задаче 4:</w:t>
      </w:r>
      <w:r>
        <w:rPr>
          <w:b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7469C4" w:rsidRPr="00F939ED" w:rsidRDefault="00AD0FD5" w:rsidP="00F939ED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</w:t>
      </w:r>
    </w:p>
    <w:p w:rsidR="00F939ED" w:rsidRDefault="00F939ED" w:rsidP="00F939E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F939ED" w:rsidRDefault="00F939ED" w:rsidP="00F939E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мероприятия подпрограммы осуществляется 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F939ED" w:rsidRDefault="00F939ED" w:rsidP="00F939E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2.4. Управление подпрограммой и контроль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ходом ее выполнения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Текущее управление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AD0FD5" w:rsidRDefault="004079AA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2.4.3</w:t>
      </w:r>
      <w:r w:rsidR="00AD0FD5">
        <w:rPr>
          <w:sz w:val="28"/>
          <w:szCs w:val="28"/>
        </w:rPr>
        <w:t xml:space="preserve">. Обеспечение целевого расходования бюджетных средств, </w:t>
      </w:r>
      <w:proofErr w:type="gramStart"/>
      <w:r w:rsidR="00AD0FD5">
        <w:rPr>
          <w:sz w:val="28"/>
          <w:szCs w:val="28"/>
        </w:rPr>
        <w:t>контроля за</w:t>
      </w:r>
      <w:proofErr w:type="gramEnd"/>
      <w:r w:rsidR="00AD0FD5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2.5. Оценка социально-экономической эффективности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FD5" w:rsidRDefault="00AD0FD5" w:rsidP="00AD0FD5">
      <w:pPr>
        <w:pStyle w:val="3"/>
        <w:spacing w:after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Ожидаемые результаты подпрограммы: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число обучающихся  в учреждениях дополнительного образования в области культуры составит  всего</w:t>
      </w:r>
      <w:r w:rsidR="00CF2C1A">
        <w:rPr>
          <w:color w:val="000000"/>
          <w:sz w:val="28"/>
          <w:szCs w:val="28"/>
        </w:rPr>
        <w:t xml:space="preserve"> не менее </w:t>
      </w:r>
      <w:r>
        <w:rPr>
          <w:color w:val="000000"/>
          <w:sz w:val="28"/>
          <w:szCs w:val="28"/>
        </w:rPr>
        <w:t xml:space="preserve"> 690 человек, в том числе по годам: в 2014 году –</w:t>
      </w:r>
      <w:r w:rsidR="00F52B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не менее 690 человек, в 2015 году –</w:t>
      </w:r>
      <w:r w:rsidR="00F52B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не менее 690 человек, в 2016 году </w:t>
      </w:r>
      <w:proofErr w:type="gramStart"/>
      <w:r>
        <w:rPr>
          <w:color w:val="000000"/>
          <w:sz w:val="28"/>
          <w:szCs w:val="28"/>
        </w:rPr>
        <w:t>–н</w:t>
      </w:r>
      <w:proofErr w:type="gramEnd"/>
      <w:r>
        <w:rPr>
          <w:color w:val="000000"/>
          <w:sz w:val="28"/>
          <w:szCs w:val="28"/>
        </w:rPr>
        <w:t>е менее 590 человек;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семинарах, семинарах-тренингах, творческих лабораториях будет обучено всего</w:t>
      </w:r>
      <w:r w:rsidR="00A30D0B">
        <w:rPr>
          <w:color w:val="000000"/>
          <w:sz w:val="28"/>
          <w:szCs w:val="28"/>
        </w:rPr>
        <w:t xml:space="preserve"> не менее </w:t>
      </w:r>
      <w:r>
        <w:rPr>
          <w:color w:val="000000"/>
          <w:sz w:val="28"/>
          <w:szCs w:val="28"/>
        </w:rPr>
        <w:t>153 специалиста учреждений культуры и образовательных учреждений в области культуры, в том числе по годам: в 2014 году –не менее 50 , в 2015 году –</w:t>
      </w:r>
      <w:r w:rsidR="00A30D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не менее 51 , в 2016 году –не менее 52 специалистов муниципальных учреждений культуры и образовательных учреждений в области культуры;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библиотек, подключенных к сети Интернет составит всего</w:t>
      </w:r>
      <w:r w:rsidR="00F52B65">
        <w:rPr>
          <w:color w:val="000000"/>
          <w:sz w:val="28"/>
          <w:szCs w:val="28"/>
        </w:rPr>
        <w:t xml:space="preserve"> не менее </w:t>
      </w:r>
      <w:r>
        <w:rPr>
          <w:color w:val="000000"/>
          <w:sz w:val="28"/>
          <w:szCs w:val="28"/>
        </w:rPr>
        <w:t xml:space="preserve"> 8, в том числе по годам: в 2014году – </w:t>
      </w:r>
      <w:r w:rsidR="00F52B65">
        <w:rPr>
          <w:color w:val="000000"/>
          <w:sz w:val="28"/>
          <w:szCs w:val="28"/>
        </w:rPr>
        <w:t xml:space="preserve">не менее </w:t>
      </w:r>
      <w:r>
        <w:rPr>
          <w:color w:val="000000"/>
          <w:sz w:val="28"/>
          <w:szCs w:val="28"/>
        </w:rPr>
        <w:t xml:space="preserve">6 библиотек,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2015 году – </w:t>
      </w:r>
      <w:r w:rsidR="00F52B65">
        <w:rPr>
          <w:color w:val="000000"/>
          <w:sz w:val="28"/>
          <w:szCs w:val="28"/>
        </w:rPr>
        <w:t xml:space="preserve">не менее </w:t>
      </w:r>
      <w:r>
        <w:rPr>
          <w:color w:val="000000"/>
          <w:sz w:val="28"/>
          <w:szCs w:val="28"/>
        </w:rPr>
        <w:t xml:space="preserve">7 библиотек, в 2016 году – </w:t>
      </w:r>
      <w:r w:rsidR="00F52B65">
        <w:rPr>
          <w:color w:val="000000"/>
          <w:sz w:val="28"/>
          <w:szCs w:val="28"/>
        </w:rPr>
        <w:t xml:space="preserve">не менее </w:t>
      </w:r>
      <w:r>
        <w:rPr>
          <w:color w:val="000000"/>
          <w:sz w:val="28"/>
          <w:szCs w:val="28"/>
        </w:rPr>
        <w:t>8 библиотек;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составит 3 человека ежегодно;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учреждений культуры, в которых проведены  мероприятия по обеспечению безопасности, всего составит 2 единицы, в том числе по годам: в 2014 – 2 единицы;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фонды муниципальных библиотек пополнятся в 2014 году не менее чем на 1,1 тыс. единиц, в 2015 году – не менее чем на 1,1 тыс. единиц, в 2016 году-1,2 тыс. единиц  изданий на различных носителях информации;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социального статуса и престижа творческих работников и работников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усилению социальной поддержки выдающихся деятелей культуры, учреждений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10"/>
        </w:numPr>
        <w:tabs>
          <w:tab w:val="num" w:pos="540"/>
        </w:tabs>
        <w:spacing w:line="232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улучшению сохранности музейных и библиотечных фондов;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увеличению количества учреждений культуры и образовательных учреждений в области культуры, находящихся в удовлетворительном </w:t>
      </w:r>
      <w:r>
        <w:rPr>
          <w:color w:val="000000"/>
          <w:sz w:val="28"/>
          <w:szCs w:val="28"/>
        </w:rPr>
        <w:lastRenderedPageBreak/>
        <w:t>состоянии;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укреплению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качества и доступности государственных и муниципальных услуг, оказываемых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созданию необходимых условий для активизации инновационной </w:t>
      </w:r>
      <w:r>
        <w:rPr>
          <w:color w:val="000000"/>
          <w:spacing w:val="-4"/>
          <w:sz w:val="28"/>
          <w:szCs w:val="28"/>
        </w:rPr>
        <w:t>и инвестиционной деятельности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и задач.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2.6. Мероприятия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AD0FD5" w:rsidRDefault="00E9442A" w:rsidP="00AD0FD5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hyperlink r:id="rId6" w:anchor="Par573" w:history="1">
        <w:r w:rsidR="00AD0FD5">
          <w:rPr>
            <w:rStyle w:val="a3"/>
            <w:color w:val="000000"/>
            <w:sz w:val="28"/>
            <w:szCs w:val="28"/>
            <w:u w:val="none"/>
          </w:rPr>
          <w:t>Перечень</w:t>
        </w:r>
      </w:hyperlink>
      <w:r w:rsidR="00AD0FD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2.7. Обоснование финансовых, материальных и трудовых затрат (ресурсное обеспечение подпрограммы) с указанием источников финансирования </w:t>
      </w:r>
      <w:r>
        <w:rPr>
          <w:b/>
          <w:sz w:val="28"/>
          <w:szCs w:val="28"/>
        </w:rPr>
        <w:t>затрат (ресурсное обеспечение подпрограммы) с указанием источников финансирования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304B4" w:rsidRPr="004304B4" w:rsidRDefault="00AD0FD5" w:rsidP="004304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бюджета, предусмотренных на цели, связанные с финансовым обеспечением вы</w:t>
      </w:r>
      <w:r w:rsidR="004304B4">
        <w:rPr>
          <w:sz w:val="28"/>
          <w:szCs w:val="28"/>
        </w:rPr>
        <w:t>полнения муниципального задания</w:t>
      </w:r>
    </w:p>
    <w:p w:rsidR="00615F29" w:rsidRDefault="00615F29" w:rsidP="00615F29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финансирования з</w:t>
      </w:r>
      <w:r w:rsidR="00DE1AB8">
        <w:rPr>
          <w:color w:val="000000"/>
          <w:sz w:val="28"/>
          <w:szCs w:val="28"/>
        </w:rPr>
        <w:t>а счет средств</w:t>
      </w:r>
      <w:r w:rsidR="004079AA">
        <w:rPr>
          <w:color w:val="000000"/>
          <w:sz w:val="28"/>
          <w:szCs w:val="28"/>
        </w:rPr>
        <w:t xml:space="preserve"> городского </w:t>
      </w:r>
      <w:r w:rsidR="00DE1AB8">
        <w:rPr>
          <w:color w:val="000000"/>
          <w:sz w:val="28"/>
          <w:szCs w:val="28"/>
        </w:rPr>
        <w:t xml:space="preserve"> бюджета –85420,93</w:t>
      </w:r>
      <w:r>
        <w:rPr>
          <w:color w:val="000000"/>
          <w:sz w:val="28"/>
          <w:szCs w:val="28"/>
        </w:rPr>
        <w:t xml:space="preserve"> тыс. рублей, из них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 бюджет – 83733,08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1 687,80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годам: 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28044,18 тыс. рублей;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 бюджет – 27481,58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562,60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– 28688,35 тыс. рублей;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 бюджет – 28125,75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562,60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–28688,35 тыс. рублей</w:t>
      </w:r>
    </w:p>
    <w:p w:rsidR="00DC4303" w:rsidRDefault="00DC4303" w:rsidP="00DC4303">
      <w:pPr>
        <w:spacing w:line="232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 бюджет – 28125,75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615F29" w:rsidRDefault="00DC4303" w:rsidP="00DC4303">
      <w:pPr>
        <w:spacing w:line="23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внебюджетные источники – 562,60тыс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615F29" w:rsidRDefault="00615F29" w:rsidP="004304B4">
      <w:pPr>
        <w:spacing w:line="232" w:lineRule="auto"/>
        <w:jc w:val="both"/>
        <w:rPr>
          <w:color w:val="000000"/>
          <w:sz w:val="28"/>
          <w:szCs w:val="28"/>
        </w:rPr>
      </w:pPr>
    </w:p>
    <w:p w:rsidR="00615F29" w:rsidRDefault="00615F29" w:rsidP="004304B4">
      <w:pPr>
        <w:spacing w:line="232" w:lineRule="auto"/>
        <w:jc w:val="both"/>
        <w:rPr>
          <w:color w:val="000000"/>
          <w:sz w:val="28"/>
          <w:szCs w:val="28"/>
        </w:rPr>
      </w:pPr>
    </w:p>
    <w:sectPr w:rsidR="00615F29" w:rsidSect="001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FD5"/>
    <w:rsid w:val="00054092"/>
    <w:rsid w:val="000C498D"/>
    <w:rsid w:val="000D7583"/>
    <w:rsid w:val="00111962"/>
    <w:rsid w:val="00282695"/>
    <w:rsid w:val="004079AA"/>
    <w:rsid w:val="004304B4"/>
    <w:rsid w:val="00462CBE"/>
    <w:rsid w:val="00474001"/>
    <w:rsid w:val="00505C7E"/>
    <w:rsid w:val="00566336"/>
    <w:rsid w:val="00615F29"/>
    <w:rsid w:val="007469C4"/>
    <w:rsid w:val="0076656C"/>
    <w:rsid w:val="00794C98"/>
    <w:rsid w:val="00955AF1"/>
    <w:rsid w:val="009D1010"/>
    <w:rsid w:val="00A30D0B"/>
    <w:rsid w:val="00AD0FD5"/>
    <w:rsid w:val="00B065F6"/>
    <w:rsid w:val="00CF2C1A"/>
    <w:rsid w:val="00D86220"/>
    <w:rsid w:val="00DC4303"/>
    <w:rsid w:val="00DE1AB8"/>
    <w:rsid w:val="00E9442A"/>
    <w:rsid w:val="00F52B65"/>
    <w:rsid w:val="00F939ED"/>
    <w:rsid w:val="00FC6F58"/>
    <w:rsid w:val="00FF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D0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0F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AD0FD5"/>
    <w:rPr>
      <w:rFonts w:ascii="Times New Roman" w:hAnsi="Times New Roman" w:cs="Times New Roman" w:hint="default"/>
    </w:rPr>
  </w:style>
  <w:style w:type="character" w:styleId="a3">
    <w:name w:val="Hyperlink"/>
    <w:basedOn w:val="a0"/>
    <w:uiPriority w:val="99"/>
    <w:semiHidden/>
    <w:unhideWhenUsed/>
    <w:rsid w:val="00AD0F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6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4.&#1054;&#1073;&#1077;&#1089;&#1087;&#1077;&#1095;&#1077;&#1085;&#1080;&#1077;%20&#1091;&#1089;&#1083;&#1086;&#1074;&#1080;&#1081;%20&#1088;&#1077;&#1072;&#1083;&#1080;&#1079;&#1072;&#1094;&#1080;&#1080;%20&#1087;&#1088;&#1086;&#1075;&#1088;&#1072;&#1084;&#1084;&#1099;%20&#1080;%20&#1087;&#1088;&#1086;&#1095;&#1080;&#1077;%20&#1084;&#1077;&#1088;&#1086;&#1087;&#1088;&#1080;&#1103;&#1090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4ACCE5-C794-44C8-AC1D-38324AE7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3410</Words>
  <Characters>19442</Characters>
  <Application>Microsoft Office Word</Application>
  <DocSecurity>0</DocSecurity>
  <Lines>162</Lines>
  <Paragraphs>45</Paragraphs>
  <ScaleCrop>false</ScaleCrop>
  <Company>Reanimator Extreme Edition</Company>
  <LinksUpToDate>false</LinksUpToDate>
  <CharactersWithSpaces>22807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17</cp:revision>
  <dcterms:created xsi:type="dcterms:W3CDTF">2013-11-13T02:55:00Z</dcterms:created>
  <dcterms:modified xsi:type="dcterms:W3CDTF">2013-11-28T01:02:00Z</dcterms:modified>
</cp:coreProperties>
</file>